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FE0" w:rsidRDefault="00E22FE0" w:rsidP="00D0663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Last Name First Name </w:t>
      </w:r>
    </w:p>
    <w:p w:rsidR="00D06635" w:rsidRDefault="00D06635" w:rsidP="00D0663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D06635" w:rsidRDefault="00D06635" w:rsidP="00D0663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Course Name </w:t>
      </w:r>
    </w:p>
    <w:p w:rsidR="00E22FE0" w:rsidRDefault="00E22FE0" w:rsidP="00D0663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E22FE0" w:rsidRDefault="00E22FE0" w:rsidP="00E22FE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Due Date </w:t>
      </w:r>
    </w:p>
    <w:p w:rsidR="00E22FE0" w:rsidRPr="00E22FE0" w:rsidRDefault="00E22FE0" w:rsidP="00E22FE0">
      <w:pPr>
        <w:spacing w:before="100" w:beforeAutospacing="1" w:after="100" w:afterAutospacing="1" w:line="480" w:lineRule="auto"/>
        <w:jc w:val="center"/>
        <w:rPr>
          <w:rFonts w:ascii="Times New Roman" w:hAnsi="Times New Roman" w:cs="Times New Roman"/>
          <w:sz w:val="24"/>
          <w:szCs w:val="24"/>
        </w:rPr>
      </w:pPr>
      <w:proofErr w:type="spellStart"/>
      <w:r w:rsidRPr="00E22FE0">
        <w:rPr>
          <w:rFonts w:ascii="Times New Roman" w:hAnsi="Times New Roman" w:cs="Times New Roman"/>
          <w:sz w:val="24"/>
          <w:szCs w:val="24"/>
        </w:rPr>
        <w:t>Nasdaq</w:t>
      </w:r>
      <w:proofErr w:type="spellEnd"/>
      <w:r w:rsidRPr="00E22FE0">
        <w:rPr>
          <w:rFonts w:ascii="Times New Roman" w:hAnsi="Times New Roman" w:cs="Times New Roman"/>
          <w:sz w:val="24"/>
          <w:szCs w:val="24"/>
        </w:rPr>
        <w:t xml:space="preserve"> Dubai Market capitalization</w:t>
      </w:r>
    </w:p>
    <w:p w:rsidR="00E22FE0" w:rsidRPr="00E22FE0" w:rsidRDefault="00E22FE0" w:rsidP="00D06635">
      <w:pPr>
        <w:spacing w:before="100" w:beforeAutospacing="1" w:after="100" w:afterAutospacing="1" w:line="480" w:lineRule="auto"/>
        <w:ind w:firstLine="720"/>
        <w:jc w:val="both"/>
        <w:rPr>
          <w:rFonts w:ascii="Times New Roman" w:hAnsi="Times New Roman" w:cs="Times New Roman"/>
          <w:sz w:val="24"/>
          <w:szCs w:val="24"/>
        </w:rPr>
      </w:pPr>
      <w:r w:rsidRPr="00E22FE0">
        <w:rPr>
          <w:rFonts w:ascii="Times New Roman" w:hAnsi="Times New Roman" w:cs="Times New Roman"/>
          <w:sz w:val="24"/>
          <w:szCs w:val="24"/>
        </w:rPr>
        <w:t xml:space="preserve">Since the year 2010, the equities traded in </w:t>
      </w:r>
      <w:proofErr w:type="spellStart"/>
      <w:r w:rsidRPr="00E22FE0">
        <w:rPr>
          <w:rFonts w:ascii="Times New Roman" w:hAnsi="Times New Roman" w:cs="Times New Roman"/>
          <w:sz w:val="24"/>
          <w:szCs w:val="24"/>
        </w:rPr>
        <w:t>Nasdaq</w:t>
      </w:r>
      <w:proofErr w:type="spellEnd"/>
      <w:r w:rsidRPr="00E22FE0">
        <w:rPr>
          <w:rFonts w:ascii="Times New Roman" w:hAnsi="Times New Roman" w:cs="Times New Roman"/>
          <w:sz w:val="24"/>
          <w:szCs w:val="24"/>
        </w:rPr>
        <w:t xml:space="preserve"> Dubai increased by over 30 percent. With individual companies’ growth, </w:t>
      </w:r>
      <w:proofErr w:type="spellStart"/>
      <w:r w:rsidRPr="00E22FE0">
        <w:rPr>
          <w:rFonts w:ascii="Times New Roman" w:hAnsi="Times New Roman" w:cs="Times New Roman"/>
          <w:sz w:val="24"/>
          <w:szCs w:val="24"/>
        </w:rPr>
        <w:t>Nasdaq</w:t>
      </w:r>
      <w:proofErr w:type="spellEnd"/>
      <w:r w:rsidRPr="00E22FE0">
        <w:rPr>
          <w:rFonts w:ascii="Times New Roman" w:hAnsi="Times New Roman" w:cs="Times New Roman"/>
          <w:sz w:val="24"/>
          <w:szCs w:val="24"/>
        </w:rPr>
        <w:t xml:space="preserve"> Dubai has increased the value of its tradable resources. In 2018, the equities traded on </w:t>
      </w:r>
      <w:proofErr w:type="spellStart"/>
      <w:r w:rsidRPr="00E22FE0">
        <w:rPr>
          <w:rFonts w:ascii="Times New Roman" w:hAnsi="Times New Roman" w:cs="Times New Roman"/>
          <w:sz w:val="24"/>
          <w:szCs w:val="24"/>
        </w:rPr>
        <w:t>Nasdaq</w:t>
      </w:r>
      <w:proofErr w:type="spellEnd"/>
      <w:r w:rsidRPr="00E22FE0">
        <w:rPr>
          <w:rFonts w:ascii="Times New Roman" w:hAnsi="Times New Roman" w:cs="Times New Roman"/>
          <w:sz w:val="24"/>
          <w:szCs w:val="24"/>
        </w:rPr>
        <w:t xml:space="preserve"> Dubai were valued at 1,153,742,494 USD. This was a decline from the previous year, 2017, considering that 1,330,719,987 USD were traded in 2017. Mathematically, this was a 13 percent decline. The volume of shares was recorded at 164,637,853 in 2018 representing a decline of 40 percent from 2017’s share volume of 273,279,795. The December of 2018 alone saw </w:t>
      </w:r>
      <w:proofErr w:type="spellStart"/>
      <w:r w:rsidRPr="00E22FE0">
        <w:rPr>
          <w:rFonts w:ascii="Times New Roman" w:hAnsi="Times New Roman" w:cs="Times New Roman"/>
          <w:sz w:val="24"/>
          <w:szCs w:val="24"/>
        </w:rPr>
        <w:t>Nasdaq</w:t>
      </w:r>
      <w:proofErr w:type="spellEnd"/>
      <w:r w:rsidRPr="00E22FE0">
        <w:rPr>
          <w:rFonts w:ascii="Times New Roman" w:hAnsi="Times New Roman" w:cs="Times New Roman"/>
          <w:sz w:val="24"/>
          <w:szCs w:val="24"/>
        </w:rPr>
        <w:t xml:space="preserve"> Dubai reach a market capitalization of 76,916,126 USD an increase of 10 percent of the December of 2017 which had a cap of 69,706,410 USD. Shares traded in the December of 2018 grew by 35 percent to 20,503,486 shares from 15,184,431 shares in the December of 2017. </w:t>
      </w:r>
    </w:p>
    <w:p w:rsidR="00E22FE0" w:rsidRPr="00E22FE0" w:rsidRDefault="00E22FE0" w:rsidP="00D06635">
      <w:pPr>
        <w:spacing w:before="100" w:beforeAutospacing="1" w:after="100" w:afterAutospacing="1" w:line="480" w:lineRule="auto"/>
        <w:ind w:firstLine="720"/>
        <w:jc w:val="both"/>
        <w:rPr>
          <w:rFonts w:ascii="Times New Roman" w:hAnsi="Times New Roman" w:cs="Times New Roman"/>
          <w:sz w:val="24"/>
          <w:szCs w:val="24"/>
        </w:rPr>
      </w:pPr>
      <w:r w:rsidRPr="00E22FE0">
        <w:rPr>
          <w:rFonts w:ascii="Times New Roman" w:hAnsi="Times New Roman" w:cs="Times New Roman"/>
          <w:sz w:val="24"/>
          <w:szCs w:val="24"/>
        </w:rPr>
        <w:t xml:space="preserve">The FTSE </w:t>
      </w:r>
      <w:proofErr w:type="spellStart"/>
      <w:r w:rsidRPr="00E22FE0">
        <w:rPr>
          <w:rFonts w:ascii="Times New Roman" w:hAnsi="Times New Roman" w:cs="Times New Roman"/>
          <w:sz w:val="24"/>
          <w:szCs w:val="24"/>
        </w:rPr>
        <w:t>Nasdaq</w:t>
      </w:r>
      <w:proofErr w:type="spellEnd"/>
      <w:r w:rsidRPr="00E22FE0">
        <w:rPr>
          <w:rFonts w:ascii="Times New Roman" w:hAnsi="Times New Roman" w:cs="Times New Roman"/>
          <w:sz w:val="24"/>
          <w:szCs w:val="24"/>
        </w:rPr>
        <w:t xml:space="preserve"> Dubai UAE 20 index ended the December of last year at 3,074.32 having increased from 3,066.31 in the end of November and down by 6.5 percent from 3,288.69 at the end of December 2017. This index is a track-down of 20 liquid stocks that have listings on </w:t>
      </w:r>
      <w:r w:rsidRPr="00E22FE0">
        <w:rPr>
          <w:rFonts w:ascii="Times New Roman" w:hAnsi="Times New Roman" w:cs="Times New Roman"/>
          <w:sz w:val="24"/>
          <w:szCs w:val="24"/>
        </w:rPr>
        <w:lastRenderedPageBreak/>
        <w:t xml:space="preserve">the Dubai financial Market, Abu Dhabi Securities, and the </w:t>
      </w:r>
      <w:proofErr w:type="spellStart"/>
      <w:r w:rsidRPr="00E22FE0">
        <w:rPr>
          <w:rFonts w:ascii="Times New Roman" w:hAnsi="Times New Roman" w:cs="Times New Roman"/>
          <w:sz w:val="24"/>
          <w:szCs w:val="24"/>
        </w:rPr>
        <w:t>Nasdaq</w:t>
      </w:r>
      <w:proofErr w:type="spellEnd"/>
      <w:r w:rsidRPr="00E22FE0">
        <w:rPr>
          <w:rFonts w:ascii="Times New Roman" w:hAnsi="Times New Roman" w:cs="Times New Roman"/>
          <w:sz w:val="24"/>
          <w:szCs w:val="24"/>
        </w:rPr>
        <w:t xml:space="preserve"> Dubai. This index was designed to act as a hedging hence an investment mechanism for international investors and the GCC. </w:t>
      </w:r>
    </w:p>
    <w:p w:rsidR="00E22FE0" w:rsidRPr="00E22FE0" w:rsidRDefault="00E22FE0" w:rsidP="00D06635">
      <w:pPr>
        <w:spacing w:before="100" w:beforeAutospacing="1" w:after="100" w:afterAutospacing="1" w:line="480" w:lineRule="auto"/>
        <w:ind w:firstLine="720"/>
        <w:jc w:val="both"/>
        <w:rPr>
          <w:rFonts w:ascii="Times New Roman" w:hAnsi="Times New Roman" w:cs="Times New Roman"/>
          <w:sz w:val="24"/>
          <w:szCs w:val="24"/>
        </w:rPr>
      </w:pPr>
      <w:r w:rsidRPr="00E22FE0">
        <w:rPr>
          <w:rFonts w:ascii="Times New Roman" w:hAnsi="Times New Roman" w:cs="Times New Roman"/>
          <w:sz w:val="24"/>
          <w:szCs w:val="24"/>
        </w:rPr>
        <w:t xml:space="preserve">Talking of the equity futures market, AED 44.05 million were traded in the December of 2018, indicating an increase from of 110 percent since the November’s was AED 20.98 million. The contracts traded in December rose from 77,785 to 216,918 a marginal increase of 179 percent. Brokerage House Securities was the most active broker in terms of value on this equity futures in December and closely followed by Integrated Securities, then the EFG Hermes UAE. </w:t>
      </w:r>
    </w:p>
    <w:p w:rsidR="002A58E6" w:rsidRDefault="00E22FE0" w:rsidP="00D06635">
      <w:pPr>
        <w:spacing w:before="100" w:beforeAutospacing="1" w:after="100" w:afterAutospacing="1" w:line="480" w:lineRule="auto"/>
        <w:ind w:firstLine="720"/>
        <w:jc w:val="both"/>
        <w:rPr>
          <w:rFonts w:ascii="Times New Roman" w:hAnsi="Times New Roman" w:cs="Times New Roman"/>
          <w:sz w:val="24"/>
          <w:szCs w:val="24"/>
        </w:rPr>
      </w:pPr>
      <w:r w:rsidRPr="00E22FE0">
        <w:rPr>
          <w:rFonts w:ascii="Times New Roman" w:hAnsi="Times New Roman" w:cs="Times New Roman"/>
          <w:sz w:val="24"/>
          <w:szCs w:val="24"/>
        </w:rPr>
        <w:t xml:space="preserve">Currently, the futures market is made up of single stock futures on 17 UAE-listed companies together with index futures on DFM’S DFMGI index and </w:t>
      </w:r>
      <w:proofErr w:type="spellStart"/>
      <w:r w:rsidRPr="00E22FE0">
        <w:rPr>
          <w:rFonts w:ascii="Times New Roman" w:hAnsi="Times New Roman" w:cs="Times New Roman"/>
          <w:sz w:val="24"/>
          <w:szCs w:val="24"/>
        </w:rPr>
        <w:t>ADX’x</w:t>
      </w:r>
      <w:proofErr w:type="spellEnd"/>
      <w:r w:rsidRPr="00E22FE0">
        <w:rPr>
          <w:rFonts w:ascii="Times New Roman" w:hAnsi="Times New Roman" w:cs="Times New Roman"/>
          <w:sz w:val="24"/>
          <w:szCs w:val="24"/>
        </w:rPr>
        <w:t xml:space="preserve"> ADI index.</w:t>
      </w:r>
    </w:p>
    <w:p w:rsidR="00E22FE0" w:rsidRDefault="00E22FE0" w:rsidP="00D06635">
      <w:pPr>
        <w:spacing w:before="100" w:beforeAutospacing="1" w:after="100" w:afterAutospacing="1" w:line="480" w:lineRule="auto"/>
        <w:jc w:val="both"/>
        <w:rPr>
          <w:rFonts w:ascii="Times New Roman" w:hAnsi="Times New Roman" w:cs="Times New Roman"/>
          <w:sz w:val="24"/>
          <w:szCs w:val="24"/>
        </w:rPr>
      </w:pPr>
    </w:p>
    <w:p w:rsidR="00E22FE0" w:rsidRDefault="00E22FE0" w:rsidP="00E22FE0">
      <w:pPr>
        <w:spacing w:before="100" w:beforeAutospacing="1" w:after="100" w:afterAutospacing="1" w:line="480" w:lineRule="auto"/>
        <w:jc w:val="center"/>
        <w:rPr>
          <w:rFonts w:ascii="Times New Roman" w:hAnsi="Times New Roman" w:cs="Times New Roman"/>
          <w:sz w:val="24"/>
          <w:szCs w:val="24"/>
        </w:rPr>
      </w:pPr>
    </w:p>
    <w:p w:rsidR="00E22FE0" w:rsidRDefault="00E22FE0" w:rsidP="00E22FE0">
      <w:pPr>
        <w:spacing w:before="100" w:beforeAutospacing="1" w:after="100" w:afterAutospacing="1" w:line="480" w:lineRule="auto"/>
        <w:jc w:val="center"/>
        <w:rPr>
          <w:rFonts w:ascii="Times New Roman" w:hAnsi="Times New Roman" w:cs="Times New Roman"/>
          <w:sz w:val="24"/>
          <w:szCs w:val="24"/>
        </w:rPr>
      </w:pPr>
    </w:p>
    <w:p w:rsidR="00E22FE0" w:rsidRDefault="00E22FE0" w:rsidP="00E22FE0">
      <w:pPr>
        <w:spacing w:before="100" w:beforeAutospacing="1" w:after="100" w:afterAutospacing="1" w:line="480" w:lineRule="auto"/>
        <w:jc w:val="center"/>
        <w:rPr>
          <w:rFonts w:ascii="Times New Roman" w:hAnsi="Times New Roman" w:cs="Times New Roman"/>
          <w:sz w:val="24"/>
          <w:szCs w:val="24"/>
        </w:rPr>
      </w:pPr>
    </w:p>
    <w:p w:rsidR="00E22FE0" w:rsidRDefault="00E22FE0" w:rsidP="00E22FE0">
      <w:pPr>
        <w:spacing w:before="100" w:beforeAutospacing="1" w:after="100" w:afterAutospacing="1" w:line="480" w:lineRule="auto"/>
        <w:jc w:val="center"/>
        <w:rPr>
          <w:rFonts w:ascii="Times New Roman" w:hAnsi="Times New Roman" w:cs="Times New Roman"/>
          <w:sz w:val="24"/>
          <w:szCs w:val="24"/>
        </w:rPr>
      </w:pPr>
    </w:p>
    <w:p w:rsidR="00E22FE0" w:rsidRDefault="00E22FE0" w:rsidP="00E22FE0">
      <w:pPr>
        <w:spacing w:before="100" w:beforeAutospacing="1" w:after="100" w:afterAutospacing="1" w:line="480" w:lineRule="auto"/>
        <w:jc w:val="center"/>
        <w:rPr>
          <w:rFonts w:ascii="Times New Roman" w:hAnsi="Times New Roman" w:cs="Times New Roman"/>
          <w:sz w:val="24"/>
          <w:szCs w:val="24"/>
        </w:rPr>
      </w:pPr>
    </w:p>
    <w:p w:rsidR="00E22FE0" w:rsidRDefault="00E22FE0" w:rsidP="00E22FE0">
      <w:pPr>
        <w:spacing w:before="100" w:beforeAutospacing="1" w:after="100" w:afterAutospacing="1" w:line="480" w:lineRule="auto"/>
        <w:jc w:val="center"/>
        <w:rPr>
          <w:rFonts w:ascii="Times New Roman" w:hAnsi="Times New Roman" w:cs="Times New Roman"/>
          <w:sz w:val="24"/>
          <w:szCs w:val="24"/>
        </w:rPr>
      </w:pPr>
    </w:p>
    <w:p w:rsidR="00E22FE0" w:rsidRDefault="00E22FE0" w:rsidP="00E22FE0">
      <w:pPr>
        <w:spacing w:before="100" w:beforeAutospacing="1" w:after="100" w:afterAutospacing="1" w:line="480" w:lineRule="auto"/>
        <w:jc w:val="center"/>
        <w:rPr>
          <w:rFonts w:ascii="Times New Roman" w:hAnsi="Times New Roman" w:cs="Times New Roman"/>
          <w:sz w:val="24"/>
          <w:szCs w:val="24"/>
        </w:rPr>
      </w:pPr>
    </w:p>
    <w:p w:rsidR="00E22FE0" w:rsidRDefault="00E22FE0" w:rsidP="00E22FE0">
      <w:pPr>
        <w:spacing w:before="100" w:beforeAutospacing="1" w:after="100" w:afterAutospacing="1" w:line="480" w:lineRule="auto"/>
        <w:rPr>
          <w:rFonts w:ascii="Times New Roman" w:hAnsi="Times New Roman" w:cs="Times New Roman"/>
          <w:sz w:val="24"/>
          <w:szCs w:val="24"/>
        </w:rPr>
      </w:pPr>
    </w:p>
    <w:p w:rsidR="00E22FE0" w:rsidRDefault="00D06635" w:rsidP="00E22FE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Works Cited </w:t>
      </w:r>
    </w:p>
    <w:p w:rsidR="00E22FE0" w:rsidRPr="00E22FE0" w:rsidRDefault="00D06635" w:rsidP="00D06635">
      <w:pPr>
        <w:spacing w:before="100" w:beforeAutospacing="1" w:after="100" w:afterAutospacing="1" w:line="480" w:lineRule="auto"/>
        <w:ind w:left="720" w:hanging="720"/>
        <w:rPr>
          <w:rFonts w:ascii="Times New Roman" w:hAnsi="Times New Roman" w:cs="Times New Roman"/>
          <w:sz w:val="24"/>
          <w:szCs w:val="24"/>
        </w:rPr>
      </w:pPr>
      <w:r w:rsidRPr="00D06635">
        <w:rPr>
          <w:rFonts w:ascii="Times New Roman" w:hAnsi="Times New Roman" w:cs="Times New Roman"/>
          <w:sz w:val="24"/>
          <w:szCs w:val="24"/>
        </w:rPr>
        <w:t>“Trading Statistics – December 2018.” Listing Process, 7 Jan. 2019, www.nasdaqdubai.com/trading-report/december</w:t>
      </w:r>
      <w:bookmarkStart w:id="0" w:name="_GoBack"/>
      <w:bookmarkEnd w:id="0"/>
      <w:r w:rsidRPr="00D06635">
        <w:rPr>
          <w:rFonts w:ascii="Times New Roman" w:hAnsi="Times New Roman" w:cs="Times New Roman"/>
          <w:sz w:val="24"/>
          <w:szCs w:val="24"/>
        </w:rPr>
        <w:t>-2018.</w:t>
      </w:r>
    </w:p>
    <w:sectPr w:rsidR="00E22FE0" w:rsidRPr="00E22FE0" w:rsidSect="00D06635">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F09" w:rsidRDefault="008F0F09" w:rsidP="00E22FE0">
      <w:pPr>
        <w:spacing w:after="0" w:line="240" w:lineRule="auto"/>
      </w:pPr>
      <w:r>
        <w:separator/>
      </w:r>
    </w:p>
  </w:endnote>
  <w:endnote w:type="continuationSeparator" w:id="0">
    <w:p w:rsidR="008F0F09" w:rsidRDefault="008F0F09" w:rsidP="00E22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F09" w:rsidRDefault="008F0F09" w:rsidP="00E22FE0">
      <w:pPr>
        <w:spacing w:after="0" w:line="240" w:lineRule="auto"/>
      </w:pPr>
      <w:r>
        <w:separator/>
      </w:r>
    </w:p>
  </w:footnote>
  <w:footnote w:type="continuationSeparator" w:id="0">
    <w:p w:rsidR="008F0F09" w:rsidRDefault="008F0F09" w:rsidP="00E22F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6635" w:rsidRPr="00D06635" w:rsidRDefault="00D06635">
    <w:pPr>
      <w:pStyle w:val="Header"/>
      <w:jc w:val="right"/>
      <w:rPr>
        <w:rFonts w:ascii="Times New Roman" w:hAnsi="Times New Roman" w:cs="Times New Roman"/>
        <w:sz w:val="24"/>
        <w:szCs w:val="24"/>
      </w:rPr>
    </w:pPr>
    <w:r w:rsidRPr="00D06635">
      <w:rPr>
        <w:rFonts w:ascii="Times New Roman" w:hAnsi="Times New Roman" w:cs="Times New Roman"/>
        <w:sz w:val="24"/>
        <w:szCs w:val="24"/>
      </w:rPr>
      <w:t xml:space="preserve"> Surname </w:t>
    </w:r>
    <w:sdt>
      <w:sdtPr>
        <w:rPr>
          <w:rFonts w:ascii="Times New Roman" w:hAnsi="Times New Roman" w:cs="Times New Roman"/>
          <w:sz w:val="24"/>
          <w:szCs w:val="24"/>
        </w:rPr>
        <w:id w:val="795794656"/>
        <w:docPartObj>
          <w:docPartGallery w:val="Page Numbers (Top of Page)"/>
          <w:docPartUnique/>
        </w:docPartObj>
      </w:sdtPr>
      <w:sdtEndPr>
        <w:rPr>
          <w:noProof/>
        </w:rPr>
      </w:sdtEndPr>
      <w:sdtContent>
        <w:r w:rsidRPr="00D06635">
          <w:rPr>
            <w:rFonts w:ascii="Times New Roman" w:hAnsi="Times New Roman" w:cs="Times New Roman"/>
            <w:sz w:val="24"/>
            <w:szCs w:val="24"/>
          </w:rPr>
          <w:fldChar w:fldCharType="begin"/>
        </w:r>
        <w:r w:rsidRPr="00D06635">
          <w:rPr>
            <w:rFonts w:ascii="Times New Roman" w:hAnsi="Times New Roman" w:cs="Times New Roman"/>
            <w:sz w:val="24"/>
            <w:szCs w:val="24"/>
          </w:rPr>
          <w:instrText xml:space="preserve"> PAGE   \* MERGEFORMAT </w:instrText>
        </w:r>
        <w:r w:rsidRPr="00D06635">
          <w:rPr>
            <w:rFonts w:ascii="Times New Roman" w:hAnsi="Times New Roman" w:cs="Times New Roman"/>
            <w:sz w:val="24"/>
            <w:szCs w:val="24"/>
          </w:rPr>
          <w:fldChar w:fldCharType="separate"/>
        </w:r>
        <w:r>
          <w:rPr>
            <w:rFonts w:ascii="Times New Roman" w:hAnsi="Times New Roman" w:cs="Times New Roman"/>
            <w:noProof/>
            <w:sz w:val="24"/>
            <w:szCs w:val="24"/>
          </w:rPr>
          <w:t>2</w:t>
        </w:r>
        <w:r w:rsidRPr="00D06635">
          <w:rPr>
            <w:rFonts w:ascii="Times New Roman" w:hAnsi="Times New Roman" w:cs="Times New Roman"/>
            <w:noProof/>
            <w:sz w:val="24"/>
            <w:szCs w:val="24"/>
          </w:rPr>
          <w:fldChar w:fldCharType="end"/>
        </w:r>
      </w:sdtContent>
    </w:sdt>
  </w:p>
  <w:p w:rsidR="00E22FE0" w:rsidRDefault="00E22F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FE0" w:rsidRPr="00E22FE0" w:rsidRDefault="00E22FE0" w:rsidP="00D06635">
    <w:pPr>
      <w:spacing w:before="100" w:beforeAutospacing="1" w:after="100" w:afterAutospacing="1"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FE0"/>
    <w:rsid w:val="008F0F09"/>
    <w:rsid w:val="00D06635"/>
    <w:rsid w:val="00D44E8B"/>
    <w:rsid w:val="00E170FA"/>
    <w:rsid w:val="00E22FE0"/>
    <w:rsid w:val="00E34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A6EB14-C5AB-4530-BEB4-09CE00854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FE0"/>
  </w:style>
  <w:style w:type="paragraph" w:styleId="Footer">
    <w:name w:val="footer"/>
    <w:basedOn w:val="Normal"/>
    <w:link w:val="FooterChar"/>
    <w:uiPriority w:val="99"/>
    <w:unhideWhenUsed/>
    <w:rsid w:val="00E22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F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327</Words>
  <Characters>1869</Characters>
  <Application>Microsoft Office Word</Application>
  <DocSecurity>0</DocSecurity>
  <Lines>15</Lines>
  <Paragraphs>4</Paragraphs>
  <ScaleCrop>false</ScaleCrop>
  <Company/>
  <LinksUpToDate>false</LinksUpToDate>
  <CharactersWithSpaces>2192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2019-02-12T00:47:00Z</dcterms:created>
  <dcterms:modified xsi:type="dcterms:W3CDTF">2019-02-12T01:05:00Z</dcterms:modified>
</cp:coreProperties>
</file>